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tulo1"/>
      </w:pPr>
      <w:bookmarkStart w:id="109" w:name="_Toc229998346"/>
      <w:r>
        <w:rPr>
          <w:rFonts w:ascii="Arial" w:hAnsi="Arial" w:cs="Arial"/>
          <w:b w:val="single"/>
          <w:sz w:val="24"/>
          <w:color w:val="black"/>
        </w:rPr>
        <w:t xml:space="preserve">AUTHORS</w:t>
      </w:r>
      <w:bookmarkEnd w:id="109"/>
    </w:p>
    <w:p>
      <w:r>
        <w:rPr>
          <w:rFonts w:ascii="Arial" w:hAnsi="Arial" w:cs="Arial"/>
          <w:sz w:val="20"/>
          <w:color w:val="black"/>
        </w:rPr>
        <w:t xml:space="preserve">Name: Jordi Palet Martinez</w:t>
      </w:r>
    </w:p>
    <w:p>
      <w:r>
        <w:rPr>
          <w:rFonts w:ascii="Arial" w:hAnsi="Arial" w:cs="Arial"/>
          <w:sz w:val="20"/>
          <w:color w:val="black"/>
        </w:rPr>
        <w:t xml:space="preserve">Email: jordi.palet@consulintel.es</w:t>
      </w:r>
    </w:p>
    <w:p>
      <w:r>
        <w:rPr>
          <w:rFonts w:ascii="Arial" w:hAnsi="Arial" w:cs="Arial"/>
          <w:sz w:val="20"/>
          <w:color w:val="black"/>
        </w:rPr>
        <w:t xml:space="preserve">Organization: The IPv6 Company
</w:t>
      </w:r>
    </w:p>
    <w:p>
      <w:pPr>
        <w:pStyle w:val="Ttulo1"/>
      </w:pPr>
      <w:bookmarkStart w:id="110" w:name="_Toc229998347"/>
      <w:r>
        <w:rPr>
          <w:rFonts w:ascii="Arial" w:hAnsi="Arial" w:cs="Arial"/>
          <w:b w:val="single"/>
          <w:sz w:val="24"/>
          <w:color w:val="black"/>
        </w:rPr>
        <w:t xml:space="preserve">ABOUT PROPOSAL</w:t>
      </w:r>
      <w:bookmarkEnd w:id="110"/>
    </w:p>
    <w:p>
      <w:r>
        <w:rPr>
          <w:rFonts w:ascii="Arial" w:hAnsi="Arial" w:cs="Arial"/>
          <w:sz w:val="20"/>
          <w:color w:val="black"/>
        </w:rPr>
        <w:t xml:space="preserve">Title: Ajuste de "Distribución subsiguiente" para IPv6</w:t>
      </w:r>
    </w:p>
    <w:p>
      <w:r>
        <w:rPr>
          <w:rFonts w:ascii="Arial" w:hAnsi="Arial" w:cs="Arial"/>
          <w:sz w:val="20"/>
          <w:color w:val="black"/>
        </w:rPr>
        <w:t xml:space="preserve">Type: LACNIC</w:t>
      </w:r>
    </w:p>
    <w:p>
      <w:r>
        <w:rPr>
          <w:rFonts w:ascii="Arial" w:hAnsi="Arial" w:cs="Arial"/>
          <w:sz w:val="20"/>
          <w:color w:val="black"/>
        </w:rPr>
        <w:t xml:space="preserve">Id: LAC-2017-9</w:t>
      </w:r>
    </w:p>
    <w:p>
      <w:r>
        <w:rPr>
          <w:rFonts w:ascii="Arial" w:hAnsi="Arial" w:cs="Arial"/>
          <w:sz w:val="20"/>
          <w:color w:val="black"/>
        </w:rPr>
        <w:t xml:space="preserve">Version: 1
</w:t>
      </w:r>
    </w:p>
    <w:p>
      <w:pPr>
        <w:pStyle w:val="Ttulo1"/>
      </w:pPr>
      <w:bookmarkStart w:id="111" w:name="_Toc229998348"/>
      <w:r>
        <w:rPr>
          <w:rFonts w:ascii="Arial" w:hAnsi="Arial" w:cs="Arial"/>
          <w:b w:val="single"/>
          <w:sz w:val="24"/>
          <w:color w:val="black"/>
        </w:rPr>
        <w:t xml:space="preserve">ABSTRACT</w:t>
      </w:r>
      <w:bookmarkEnd w:id="111"/>
    </w:p>
    <w:p>
      <w:r>
        <w:rPr>
          <w:rFonts w:ascii="Arial" w:hAnsi="Arial" w:cs="Arial"/>
          <w:sz w:val="20"/>
          <w:color w:val="black"/>
        </w:rPr>
        <w:t xml:space="preserve">Policy proposal LAC-2016-7, which reached consensus and is pending ratification by the Board, modifies the justification requirements for LIRs/ISPs requesting an initial allocation larger than the default size (/32).
However, the current text for subsequent allocations is based on the text of the previous policy. This proposal allows “synchronizing” both parts of the policy.
</w:t>
      </w:r>
    </w:p>
    <w:p>
      <w:pPr>
        <w:pStyle w:val="Ttulo1"/>
      </w:pPr>
      <w:bookmarkStart w:id="112" w:name="_Toc229998349"/>
      <w:r>
        <w:rPr>
          <w:rFonts w:ascii="Arial" w:hAnsi="Arial" w:cs="Arial"/>
          <w:b w:val="single"/>
          <w:sz w:val="24"/>
          <w:color w:val="black"/>
        </w:rPr>
        <w:t xml:space="preserve">RATIONALE</w:t>
      </w:r>
      <w:bookmarkEnd w:id="112"/>
    </w:p>
    <w:p>
      <w:r>
        <w:rPr>
          <w:rFonts w:ascii="Arial" w:hAnsi="Arial" w:cs="Arial"/>
          <w:sz w:val="20"/>
          <w:color w:val="black"/>
        </w:rPr>
        <w:t xml:space="preserve">By default, a subsequent allocation extends the existing allocation one bit, i.e., it doubles the already allocated address space.
The current policy also considers the possibility of justifying the need for a larger amount of address space, limiting this to a two-year period. This text, however, was modified by proposal LAC-2016-7.
</w:t>
      </w:r>
    </w:p>
    <w:p>
      <w:pPr>
        <w:pStyle w:val="Ttulo1"/>
      </w:pPr>
      <w:bookmarkStart w:id="113" w:name="_Toc229998350"/>
      <w:r>
        <w:rPr>
          <w:rFonts w:ascii="Arial" w:hAnsi="Arial" w:cs="Arial"/>
          <w:b w:val="single"/>
          <w:sz w:val="24"/>
          <w:color w:val="black"/>
        </w:rPr>
        <w:t xml:space="preserve">CURRENT TEXT: </w:t>
      </w:r>
      <w:bookmarkEnd w:id="113"/>
    </w:p>
    <w:p>
      <w:r>
        <w:rPr>
          <w:rFonts w:ascii="Arial" w:hAnsi="Arial" w:cs="Arial"/>
          <w:sz w:val="20"/>
          <w:color w:val="black"/>
        </w:rPr>
        <w:t xml:space="preserve">Current text:
4.5.2.3. Subsequent Allocation Size
When an organization has achieved an acceptable utilization for its allocated address space, it is immediately eligible to obtain an additional allocation that results in a doubling of the address space allocated to it. Where possible, the allocation will be made from an adjacent address block, meaning that its existing allocation is extended by one bit to the left.
If an organization needs more address space, it must provide documentation justifying its requirements for a two-year period. The allocation made will be based on this requirement.
Proposed text:
4.5.2.3. Subsequent Allocation Size
When an organization has achieved an acceptable utilization of its allocated address space, it is immediately eligible to obtain an additional allocation that results in a doubling of the address space it was previously allocated. Where possible, the allocation will be made from an adjacent address block, meaning that its existing allocation will be extended one bit to the left.
If an organization requires more address space, the organization shall provide documentation justifying the space it needs to serve its clients, number of users, extent of its infrastructure, hierarchical and/or geographic structure, infrastructure segmentation for security or other reasons, and the longevity anticipated for the initial allocation.
</w:t>
      </w:r>
    </w:p>
    <w:p>
      <w:pPr>
        <w:pStyle w:val="Ttulo1"/>
      </w:pPr>
      <w:bookmarkStart w:id="114" w:name="_Toc229998351"/>
      <w:r>
        <w:rPr>
          <w:rFonts w:ascii="Arial" w:hAnsi="Arial" w:cs="Arial"/>
          <w:b w:val="single"/>
          <w:sz w:val="24"/>
          <w:color w:val="black"/>
        </w:rPr>
        <w:t xml:space="preserve">NEW TEXT: </w:t>
      </w:r>
      <w:bookmarkEnd w:id="114"/>
    </w:p>
    <w:p>
      <w:r>
        <w:rPr>
          <w:rFonts w:ascii="Arial" w:hAnsi="Arial" w:cs="Arial"/>
          <w:sz w:val="20"/>
          <w:color w:val="black"/>
        </w:rPr>
        <w:t xml:space="preserve">Current text:
4.5.2.3. Subsequent Allocation Size
When an organization has achieved an acceptable utilization for its allocated address space, it is immediately eligible to obtain an additional allocation that results in a doubling of the address space allocated to it. Where possible, the allocation will be made from an adjacent address block, meaning that its existing allocation is extended by one bit to the left.
If an organization needs more address space, it must provide documentation justifying its requirements for a two-year period. The allocation made will be based on this requirement.
Proposed text:
4.5.2.3. Subsequent Allocation Size
When an organization has achieved an acceptable utilization of its allocated address space, it is immediately eligible to obtain an additional allocation that results in a doubling of the address space it was previously allocated. Where possible, the allocation will be made from an adjacent address block, meaning that its existing allocation will be extended one bit to the left.
If an organization requires more address space, the organization shall provide documentation justifying the space it needs to serve its clients, number of users, extent of its infrastructure, hierarchical and/or geographic structure, infrastructure segmentation for security or other reasons, and the longevity anticipated for the initial allocation.
</w:t>
      </w:r>
    </w:p>
    <w:p>
      <w:pPr>
        <w:pStyle w:val="Ttulo1"/>
      </w:pPr>
      <w:bookmarkStart w:id="115" w:name="_Toc229998352"/>
      <w:r>
        <w:rPr>
          <w:rFonts w:ascii="Arial" w:hAnsi="Arial" w:cs="Arial"/>
          <w:b w:val="single"/>
          <w:sz w:val="24"/>
          <w:color w:val="black"/>
        </w:rPr>
        <w:t xml:space="preserve">MORE INFORMATION</w:t>
      </w:r>
      <w:bookmarkEnd w:id="115"/>
    </w:p>
    <w:p>
      <w:r>
        <w:rPr>
          <w:rFonts w:ascii="Arial" w:hAnsi="Arial" w:cs="Arial"/>
          <w:sz w:val="20"/>
          <w:color w:val="black"/>
        </w:rPr>
        <w:t xml:space="preserve">This modification is fully equivalent to the one implemented by RIPE NCC.
</w:t>
      </w:r>
    </w:p>
    <w:p>
      <w:pPr>
        <w:pStyle w:val="Ttulo1"/>
      </w:pPr>
      <w:bookmarkStart w:id="116" w:name="_Toc229998353"/>
      <w:r>
        <w:rPr>
          <w:rFonts w:ascii="Arial" w:hAnsi="Arial" w:cs="Arial"/>
          <w:b w:val="single"/>
          <w:sz w:val="24"/>
          <w:color w:val="black"/>
        </w:rPr>
        <w:t xml:space="preserve">TIMELINE</w:t>
      </w:r>
      <w:bookmarkEnd w:id="116"/>
    </w:p>
    <w:p>
      <w:r>
        <w:rPr>
          <w:rFonts w:ascii="Arial" w:hAnsi="Arial" w:cs="Arial"/>
          <w:sz w:val="20"/>
          <w:color w:val="black"/>
        </w:rPr>
        <w:t xml:space="preserve">Immediate implementation
</w:t>
      </w:r>
    </w:p>
    <w:p>
      <w:pPr>
        <w:pStyle w:val="Ttulo1"/>
      </w:pPr>
      <w:bookmarkStart w:id="117" w:name="_Toc229998354"/>
      <w:r>
        <w:rPr>
          <w:rFonts w:ascii="Arial" w:hAnsi="Arial" w:cs="Arial"/>
          <w:b w:val="single"/>
          <w:sz w:val="24"/>
          <w:color w:val="black"/>
        </w:rPr>
        <w:t xml:space="preserve">REFERENCE</w:t>
      </w:r>
      <w:bookmarkEnd w:id="117"/>
    </w:p>
    <w:p>
      <w:r>
        <w:rPr>
          <w:rFonts w:ascii="Arial" w:hAnsi="Arial" w:cs="Arial"/>
          <w:sz w:val="20"/>
          <w:color w:val="black"/>
        </w:rPr>
        <w:t xml:space="preserve">Immediate implementation
</w:t>
      </w:r>
    </w:p>
    <w:sectPr w:rsidR="12240" w:rsidRPr="12240" w:rsidSect="12240">
      <w:pgSz w:w="11906" w:h="16838"/>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null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numbering' Target='numbering.xml'></Relationship><Relationship Id='rId2' Type='http://schemas.openxmlformats.org/officeDocument/2006/relationships/theme' Target='theme/theme1.xml'></Relationship><Relationship Id='rId3' Type='http://schemas.openxmlformats.org/officeDocument/2006/relationships/webSettings' Target='webSettings.xml'></Relationship><Relationship Id='rId4' Type='http://schemas.openxmlformats.org/officeDocument/2006/relationships/fontTable' Target='fontTable.xml'></Relationship><Relationship Id='rId5' Type='http://schemas.openxmlformats.org/officeDocument/2006/relationships/settings' Target='settings.xml'></Relationship><Relationship Id='rId6'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Times New Roman"/>
        <a:font script="Hang" typeface="Times New Roman"/>
        <a:font script="Hans" typeface="Times New Roman"/>
        <a:font script="Hant" typeface="Times New Roman"/>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Times New Roman"/>
        <a:font script="Hang" typeface="Times New Roman"/>
        <a:font script="Hans" typeface="Times New Roman"/>
        <a:font script="Hant" typeface="Times New Roman"/>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2024-05-18T00:43:51-03:00</dcterms:created>
  <dcterms:modified xsi:type="dcterms:W3CDTF">2024-05-18T00:43:51-03:00</dcterms:modified>
</cp:coreProperties>
</file>